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SkattekontoFordringer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SAP-DMO</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10-11-2021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20-06-2024</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udstille oplysninger fra en eller flere virksomheders skattekonti.</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Komplethed:</w:t>
              <w:br/>
              <w:t>API'et udstiller data på forretningsobjektniveau.  Det er således dataanvenderen, der alt efter behov udvælger hvilke felter i modellen, der ønskes data for. Der udstilles ikke data ejet af andre registre.</w:t>
              <w:br/>
              <w:t/>
              <w:br/>
              <w:t>Korrekthed:</w:t>
              <w:br/>
              <w:t>API'et benytter data direkte fra kilderegistre, hvorfor korrektheden er afhængig af korrektheden af kildedata.</w:t>
              <w:br/>
              <w:t/>
              <w:br/>
              <w:t>Aktualitet:</w:t>
              <w:br/>
              <w:t>Udstilling af data via API sikrer, at data kan udstilles i nær-realtid og dermed har en høj grad af aktualitet.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SkattekontoFordringerHent_I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*VirksomhedListe*</w:t>
              <w:br/>
              <w:t/>
              <w:tab/>
              <w:t>{</w:t>
              <w:br/>
              <w:t/>
              <w:tab/>
              <w:t/>
              <w:tab/>
              <w:t>VirksomhedSENummer</w:t>
              <w:br/>
              <w:t/>
              <w:tab/>
              <w:t>}</w:t>
              <w:br/>
              <w:t/>
              <w:tab/>
              <w:t>(OpkrævningFordringTypeID)</w:t>
              <w:br/>
              <w:t/>
              <w:tab/>
              <w:t>(FordringUdligningStatus)</w:t>
              <w:br/>
              <w:t/>
              <w:tab/>
              <w:t>(GyldigDatoFra)</w:t>
              <w:br/>
              <w:t/>
              <w:tab/>
              <w:t>(GyldigDatoTil)</w:t>
              <w:br/>
              <w:t/>
              <w:tab/>
              <w:t>(TekniskRegistreringDatoFra)</w:t>
              <w:br/>
              <w:t/>
              <w:tab/>
              <w:t>(TekniskRegistreringDatoTil)</w:t>
              <w:br/>
              <w:t/>
              <w:tab/>
              <w:t>(Side)</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kræver en liste af VirksomhedSENummer samt eventuelt en OpkrævningFordringTypeID og/eller en FordringUdligningStatus.</w:t>
              <w:br/>
              <w:t/>
              <w:br/>
              <w:t>Der kan anvendes GyldigDatoFra og/eller GyldigDatoTil, som resulterer i, at der kun returneres posteringer, der er foretaget efter eller før gyldighedsdatoen eller indenfor gyldighedsperioden.</w:t>
              <w:br/>
              <w:t>Hvis der kun anvendes GyldigDatoFra, hentes alle posteringer, hvor OpkrævningFordringPeriodeFraDato &gt;= GyldigDatoFra.</w:t>
              <w:br/>
              <w:t>Hvis der kun anvendes GyldigDatoTil, hentes alle posteringer, hvor OpkrævningFordringPeriodeTilDato &lt; GyldigDatoTil.</w:t>
              <w:br/>
              <w:t>Hvis der anvendes både GyldigDatoFra og GyldigDatoTil, hentes alle posteringer hvor OpkrævningFordringPeriodeFraDato &gt;= GyldigDatoFra og hvor OpkrævningFordringPeriodeTilDato &lt; GyldigDatoTil.</w:t>
              <w:br/>
              <w:t/>
              <w:br/>
              <w:t>Der kan desuden defineres en udsøgningsperiode ved at bruge TekniskRegistreringDatoFra og/eller TekniskRegistreringDatoTil, som vil resultere i, at der kun leveres de posteringer, som er registreret indenfor de givne kriterier.</w:t>
              <w:br/>
              <w:t>Hvis der kun anvendes TekniskRegistreringDatoFra, hentes alle posteringer, hvor TekniskRegistreringTidspunkt &gt;= TekniskRegistreringDatoFra.</w:t>
              <w:br/>
              <w:t>Hvis der kun anvendes TekniskRegistreringDatoTil, hentes alle posteringer, hvor TekniskRegistreringTidspunkt &lt; TekniskRegistreringDatoTil.</w:t>
              <w:br/>
              <w:t>Hvis der anvendes både TekniskRegistreringDatoFra og TekniskRegistreringDatoTil, hentes alle posteringer hvor TekniskRegistreringTidspunkt &gt;= TekniskRegistreringDatoFra og hvor TekniskRegistreringTidspunkt &lt; TekniskRegistreringDatoTil.</w:t>
              <w:br/>
              <w:t>Dette kan f.eks. bruges til at hente posteringer, der er blevet registreret siden der sidst blev forespurgt på API'et, ved at udfylde TekniskRegistreringDatoFra med TekniskRegistreringDatoTil fra seneste forespørgsel.</w:t>
              <w:br/>
              <w:t>Her skal man dog være opmærksom på, at leverancen skal sammenstilles med tidligere hentede data, hvis der skal være et samlet overblik over en skattekonto for en virksomhed.</w:t>
              <w:br/>
              <w:t/>
              <w:br/>
              <w:t>GyldigDatoFra og TekniskRegistreringDatoFra vil altid være inklusive, mens GyldigDatoTil og TekniskRegistreringDatoTil altid vil være eksklusive.</w:t>
              <w:br/>
              <w:t>Det vil sige, at hvis man f.eks. ønsker at udsøge data for januar måned skal DataFra=0101 og DataTil=0102.</w:t>
              <w:br/>
              <w:t/>
              <w:br/>
              <w:t>Der kan anvendes Side til paginering. Hvis Side ikke anvendes, returneres første side. Sidestørrelsen er per default sat til 100 posteringer per side.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SkattekontoFordringerHent_O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*SkattekontoListe*</w:t>
              <w:br/>
              <w:t>{</w:t>
              <w:br/>
              <w:t/>
              <w:tab/>
              <w:t>*Skattekonto*</w:t>
              <w:br/>
              <w:t/>
              <w:tab/>
              <w:t>[</w:t>
              <w:br/>
              <w:t/>
              <w:tab/>
              <w:t/>
              <w:tab/>
              <w:t>SKTFVdataKlassifikation</w:t>
              <w:br/>
              <w:t/>
              <w:tab/>
              <w:t/>
              <w:tab/>
              <w:t>VirksomhedSENummer</w:t>
              <w:br/>
              <w:t/>
              <w:tab/>
              <w:t/>
              <w:tab/>
              <w:t>(</w:t>
              <w:br/>
              <w:t/>
              <w:tab/>
              <w:t/>
              <w:tab/>
              <w:t/>
              <w:tab/>
              <w:t>*PosteringListe*</w:t>
              <w:br/>
              <w:t/>
              <w:tab/>
              <w:t/>
              <w:tab/>
              <w:t/>
              <w:tab/>
              <w:t>{</w:t>
              <w:br/>
              <w:t/>
              <w:tab/>
              <w:t/>
              <w:tab/>
              <w:t/>
              <w:tab/>
              <w:t/>
              <w:tab/>
              <w:t>*Postering*</w:t>
              <w:br/>
              <w:t/>
              <w:tab/>
              <w:t/>
              <w:tab/>
              <w:t/>
              <w:tab/>
              <w:t/>
              <w:tab/>
              <w:t>[</w:t>
              <w:br/>
              <w:t/>
              <w:tab/>
              <w:t/>
              <w:tab/>
              <w:t/>
              <w:tab/>
              <w:t/>
              <w:tab/>
              <w:t/>
              <w:tab/>
              <w:t>TekniskRegistreringTidspunkt</w:t>
              <w:br/>
              <w:t/>
              <w:tab/>
              <w:t/>
              <w:tab/>
              <w:t/>
              <w:tab/>
              <w:t/>
              <w:tab/>
              <w:t/>
              <w:tab/>
              <w:t>(</w:t>
              <w:br/>
              <w:t/>
              <w:tab/>
              <w:t/>
              <w:tab/>
              <w:t/>
              <w:tab/>
              <w:t/>
              <w:tab/>
              <w:t/>
              <w:tab/>
              <w:t/>
              <w:tab/>
              <w:t>*PosteringstypeValg*</w:t>
              <w:br/>
              <w:t/>
              <w:tab/>
              <w:t/>
              <w:tab/>
              <w:t/>
              <w:tab/>
              <w:t/>
              <w:tab/>
              <w:t/>
              <w:tab/>
              <w:t/>
              <w:tab/>
              <w:t>[</w:t>
              <w:br/>
              <w:t/>
              <w:tab/>
              <w:t/>
              <w:tab/>
              <w:t/>
              <w:tab/>
              <w:t/>
              <w:tab/>
              <w:t/>
              <w:tab/>
              <w:t/>
              <w:tab/>
              <w:t/>
              <w:tab/>
              <w:t>*Fordring*</w:t>
              <w:br/>
              <w:t/>
              <w:tab/>
              <w:t/>
              <w:tab/>
              <w:t/>
              <w:tab/>
              <w:t/>
              <w:tab/>
              <w:t/>
              <w:tab/>
              <w:t/>
              <w:tab/>
              <w:t/>
              <w:tab/>
              <w:t>[</w:t>
              <w:br/>
              <w:t/>
              <w:tab/>
              <w:t/>
              <w:tab/>
              <w:t/>
              <w:tab/>
              <w:t/>
              <w:tab/>
              <w:t/>
              <w:tab/>
              <w:t/>
              <w:tab/>
              <w:t/>
              <w:tab/>
              <w:t/>
              <w:tab/>
              <w:t>OpkrævningFordringID</w:t>
              <w:br/>
              <w:t/>
              <w:tab/>
              <w:t/>
              <w:tab/>
              <w:t/>
              <w:tab/>
              <w:t/>
              <w:tab/>
              <w:t/>
              <w:tab/>
              <w:t/>
              <w:tab/>
              <w:t/>
              <w:tab/>
              <w:t/>
              <w:tab/>
              <w:t>OpkrævningFordringTypeID</w:t>
              <w:br/>
              <w:t/>
              <w:tab/>
              <w:t/>
              <w:tab/>
              <w:t/>
              <w:tab/>
              <w:t/>
              <w:tab/>
              <w:t/>
              <w:tab/>
              <w:t/>
              <w:tab/>
              <w:t/>
              <w:tab/>
              <w:t/>
              <w:tab/>
              <w:t>(OpkrævningFordringPeriodeFraDato)</w:t>
              <w:br/>
              <w:t/>
              <w:tab/>
              <w:t/>
              <w:tab/>
              <w:t/>
              <w:tab/>
              <w:t/>
              <w:tab/>
              <w:t/>
              <w:tab/>
              <w:t/>
              <w:tab/>
              <w:t/>
              <w:tab/>
              <w:t/>
              <w:tab/>
              <w:t>(OpkrævningFordringPeriodeTilDato)</w:t>
              <w:br/>
              <w:t/>
              <w:tab/>
              <w:t/>
              <w:tab/>
              <w:t/>
              <w:tab/>
              <w:t/>
              <w:tab/>
              <w:t/>
              <w:tab/>
              <w:t/>
              <w:tab/>
              <w:t/>
              <w:tab/>
              <w:t/>
              <w:tab/>
              <w:t>OpkrævningFordringOprindeligtBeløb</w:t>
              <w:br/>
              <w:t/>
              <w:tab/>
              <w:t/>
              <w:tab/>
              <w:t/>
              <w:tab/>
              <w:t/>
              <w:tab/>
              <w:t/>
              <w:tab/>
              <w:t/>
              <w:tab/>
              <w:t/>
              <w:tab/>
              <w:t/>
              <w:tab/>
              <w:t>(OpkrævningFordringOverdragelseStatus)</w:t>
              <w:br/>
              <w:t/>
              <w:tab/>
              <w:t/>
              <w:tab/>
              <w:t/>
              <w:tab/>
              <w:t/>
              <w:tab/>
              <w:t/>
              <w:tab/>
              <w:t/>
              <w:tab/>
              <w:t/>
              <w:tab/>
              <w:t/>
              <w:tab/>
              <w:t>FordringUdligningStatus</w:t>
              <w:br/>
              <w:t/>
              <w:tab/>
              <w:t/>
              <w:tab/>
              <w:t/>
              <w:tab/>
              <w:t/>
              <w:tab/>
              <w:t/>
              <w:tab/>
              <w:t/>
              <w:tab/>
              <w:t/>
              <w:tab/>
              <w:t/>
              <w:tab/>
              <w:t>OpkrævningFordringBetalingOrdningMarkering</w:t>
              <w:br/>
              <w:t/>
              <w:tab/>
              <w:t/>
              <w:tab/>
              <w:t/>
              <w:tab/>
              <w:t/>
              <w:tab/>
              <w:t/>
              <w:tab/>
              <w:t/>
              <w:tab/>
              <w:t/>
              <w:tab/>
              <w:t/>
              <w:tab/>
              <w:t>(NegativFordringFrigivetMarkering)</w:t>
              <w:br/>
              <w:t/>
              <w:tab/>
              <w:t/>
              <w:tab/>
              <w:t/>
              <w:tab/>
              <w:t/>
              <w:tab/>
              <w:t/>
              <w:tab/>
              <w:t/>
              <w:tab/>
              <w:t/>
              <w:tab/>
              <w:t/>
              <w:tab/>
              <w:t>*DatoValg*</w:t>
              <w:br/>
              <w:t/>
              <w:tab/>
              <w:t/>
              <w:tab/>
              <w:t/>
              <w:tab/>
              <w:t/>
              <w:tab/>
              <w:t/>
              <w:tab/>
              <w:t/>
              <w:tab/>
              <w:t/>
              <w:tab/>
              <w:t/>
              <w:tab/>
              <w:t>[</w:t>
              <w:br/>
              <w:t/>
              <w:tab/>
              <w:t/>
              <w:tab/>
              <w:t/>
              <w:tab/>
              <w:t/>
              <w:tab/>
              <w:t/>
              <w:tab/>
              <w:t/>
              <w:tab/>
              <w:t/>
              <w:tab/>
              <w:t/>
              <w:tab/>
              <w:t/>
              <w:tab/>
              <w:t>*PositivFordring*</w:t>
              <w:br/>
              <w:t/>
              <w:tab/>
              <w:t/>
              <w:tab/>
              <w:t/>
              <w:tab/>
              <w:t/>
              <w:tab/>
              <w:t/>
              <w:tab/>
              <w:t/>
              <w:tab/>
              <w:t/>
              <w:tab/>
              <w:t/>
              <w:tab/>
              <w:t/>
              <w:tab/>
              <w:t>[</w:t>
              <w:br/>
              <w:t/>
              <w:tab/>
              <w:t/>
              <w:tab/>
              <w:t/>
              <w:tab/>
              <w:t/>
              <w:tab/>
              <w:t/>
              <w:tab/>
              <w:t/>
              <w:tab/>
              <w:t/>
              <w:tab/>
              <w:t/>
              <w:tab/>
              <w:t/>
              <w:tab/>
              <w:t/>
              <w:tab/>
              <w:t>OpkrævningFordringSidsteRettidigBetalingDato</w:t>
              <w:br/>
              <w:t/>
              <w:tab/>
              <w:t/>
              <w:tab/>
              <w:t/>
              <w:tab/>
              <w:t/>
              <w:tab/>
              <w:t/>
              <w:tab/>
              <w:t/>
              <w:tab/>
              <w:t/>
              <w:tab/>
              <w:t/>
              <w:tab/>
              <w:t/>
              <w:tab/>
              <w:t/>
              <w:tab/>
              <w:t>(OpkrævningFordringOprindeligSidsteRettidigBetalingDato)</w:t>
              <w:br/>
              <w:t/>
              <w:tab/>
              <w:t/>
              <w:tab/>
              <w:t/>
              <w:tab/>
              <w:t/>
              <w:tab/>
              <w:t/>
              <w:tab/>
              <w:t/>
              <w:tab/>
              <w:t/>
              <w:tab/>
              <w:t/>
              <w:tab/>
              <w:t/>
              <w:tab/>
              <w:t>]</w:t>
              <w:br/>
              <w:t/>
              <w:tab/>
              <w:t/>
              <w:tab/>
              <w:t/>
              <w:tab/>
              <w:t/>
              <w:tab/>
              <w:t/>
              <w:tab/>
              <w:t/>
              <w:tab/>
              <w:t/>
              <w:tab/>
              <w:t/>
              <w:tab/>
              <w:t/>
              <w:tab/>
              <w:t>|</w:t>
              <w:br/>
              <w:t/>
              <w:tab/>
              <w:t/>
              <w:tab/>
              <w:t/>
              <w:tab/>
              <w:t/>
              <w:tab/>
              <w:t/>
              <w:tab/>
              <w:t/>
              <w:tab/>
              <w:t/>
              <w:tab/>
              <w:t/>
              <w:tab/>
              <w:t/>
              <w:tab/>
              <w:t>*NegativFordring*</w:t>
              <w:br/>
              <w:t/>
              <w:tab/>
              <w:t/>
              <w:tab/>
              <w:t/>
              <w:tab/>
              <w:t/>
              <w:tab/>
              <w:t/>
              <w:tab/>
              <w:t/>
              <w:tab/>
              <w:t/>
              <w:tab/>
              <w:t/>
              <w:tab/>
              <w:t/>
              <w:tab/>
              <w:t>[</w:t>
              <w:br/>
              <w:t/>
              <w:tab/>
              <w:t/>
              <w:tab/>
              <w:t/>
              <w:tab/>
              <w:t/>
              <w:tab/>
              <w:t/>
              <w:tab/>
              <w:t/>
              <w:tab/>
              <w:t/>
              <w:tab/>
              <w:t/>
              <w:tab/>
              <w:t/>
              <w:tab/>
              <w:t/>
              <w:tab/>
              <w:t>OpkrævningFordringFrigivelseDato</w:t>
              <w:br/>
              <w:t/>
              <w:tab/>
              <w:t/>
              <w:tab/>
              <w:t/>
              <w:tab/>
              <w:t/>
              <w:tab/>
              <w:t/>
              <w:tab/>
              <w:t/>
              <w:tab/>
              <w:t/>
              <w:tab/>
              <w:t/>
              <w:tab/>
              <w:t/>
              <w:tab/>
              <w:t>]</w:t>
              <w:br/>
              <w:t/>
              <w:tab/>
              <w:t/>
              <w:tab/>
              <w:t/>
              <w:tab/>
              <w:t/>
              <w:tab/>
              <w:t/>
              <w:tab/>
              <w:t/>
              <w:tab/>
              <w:t/>
              <w:tab/>
              <w:t/>
              <w:tab/>
              <w:t>]</w:t>
              <w:br/>
              <w:t/>
              <w:tab/>
              <w:t/>
              <w:tab/>
              <w:t/>
              <w:tab/>
              <w:t/>
              <w:tab/>
              <w:t/>
              <w:tab/>
              <w:t/>
              <w:tab/>
              <w:t/>
              <w:tab/>
              <w:t>]</w:t>
              <w:br/>
              <w:t/>
              <w:tab/>
              <w:t/>
              <w:tab/>
              <w:t/>
              <w:tab/>
              <w:t/>
              <w:tab/>
              <w:t/>
              <w:tab/>
              <w:t/>
              <w:tab/>
              <w:t/>
              <w:tab/>
              <w:t>|</w:t>
              <w:br/>
              <w:t/>
              <w:tab/>
              <w:t/>
              <w:tab/>
              <w:t/>
              <w:tab/>
              <w:t/>
              <w:tab/>
              <w:t/>
              <w:tab/>
              <w:t/>
              <w:tab/>
              <w:t/>
              <w:tab/>
              <w:t>*Indbetaling*</w:t>
              <w:br/>
              <w:t/>
              <w:tab/>
              <w:t/>
              <w:tab/>
              <w:t/>
              <w:tab/>
              <w:t/>
              <w:tab/>
              <w:t/>
              <w:tab/>
              <w:t/>
              <w:tab/>
              <w:t/>
              <w:tab/>
              <w:t>[</w:t>
              <w:br/>
              <w:t/>
              <w:tab/>
              <w:t/>
              <w:tab/>
              <w:t/>
              <w:tab/>
              <w:t/>
              <w:tab/>
              <w:t/>
              <w:tab/>
              <w:t/>
              <w:tab/>
              <w:t/>
              <w:tab/>
              <w:t/>
              <w:tab/>
              <w:t>OpkrævningIndbetalingID</w:t>
              <w:br/>
              <w:t/>
              <w:tab/>
              <w:t/>
              <w:tab/>
              <w:t/>
              <w:tab/>
              <w:t/>
              <w:tab/>
              <w:t/>
              <w:tab/>
              <w:t/>
              <w:tab/>
              <w:t/>
              <w:tab/>
              <w:t/>
              <w:tab/>
              <w:t>(OpkrævningIndbetalingSystem)</w:t>
              <w:br/>
              <w:t/>
              <w:tab/>
              <w:t/>
              <w:tab/>
              <w:t/>
              <w:tab/>
              <w:t/>
              <w:tab/>
              <w:t/>
              <w:tab/>
              <w:t/>
              <w:tab/>
              <w:t/>
              <w:tab/>
              <w:t/>
              <w:tab/>
              <w:t>(OpkrævningKontoIndbetalingForm)</w:t>
              <w:br/>
              <w:t/>
              <w:tab/>
              <w:t/>
              <w:tab/>
              <w:t/>
              <w:tab/>
              <w:t/>
              <w:tab/>
              <w:t/>
              <w:tab/>
              <w:t/>
              <w:tab/>
              <w:t/>
              <w:tab/>
              <w:t/>
              <w:tab/>
              <w:t>OpkrævningIndbetalingDato</w:t>
              <w:br/>
              <w:t/>
              <w:tab/>
              <w:t/>
              <w:tab/>
              <w:t/>
              <w:tab/>
              <w:t/>
              <w:tab/>
              <w:t/>
              <w:tab/>
              <w:t/>
              <w:tab/>
              <w:t/>
              <w:tab/>
              <w:t/>
              <w:tab/>
              <w:t>OpkrævningIndbetalingBeløb</w:t>
              <w:br/>
              <w:t/>
              <w:tab/>
              <w:t/>
              <w:tab/>
              <w:t/>
              <w:tab/>
              <w:t/>
              <w:tab/>
              <w:t/>
              <w:tab/>
              <w:t/>
              <w:tab/>
              <w:t/>
              <w:tab/>
              <w:t>]</w:t>
              <w:br/>
              <w:t/>
              <w:tab/>
              <w:t/>
              <w:tab/>
              <w:t/>
              <w:tab/>
              <w:t/>
              <w:tab/>
              <w:t/>
              <w:tab/>
              <w:t/>
              <w:tab/>
              <w:t/>
              <w:tab/>
              <w:t>|</w:t>
              <w:br/>
              <w:t/>
              <w:tab/>
              <w:t/>
              <w:tab/>
              <w:t/>
              <w:tab/>
              <w:t/>
              <w:tab/>
              <w:t/>
              <w:tab/>
              <w:t/>
              <w:tab/>
              <w:t/>
              <w:tab/>
              <w:t>*Udbetaling*</w:t>
              <w:br/>
              <w:t/>
              <w:tab/>
              <w:t/>
              <w:tab/>
              <w:t/>
              <w:tab/>
              <w:t/>
              <w:tab/>
              <w:t/>
              <w:tab/>
              <w:t/>
              <w:tab/>
              <w:t/>
              <w:tab/>
              <w:t>[</w:t>
              <w:br/>
              <w:t/>
              <w:tab/>
              <w:t/>
              <w:tab/>
              <w:t/>
              <w:tab/>
              <w:t/>
              <w:tab/>
              <w:t/>
              <w:tab/>
              <w:t/>
              <w:tab/>
              <w:t/>
              <w:tab/>
              <w:t/>
              <w:tab/>
              <w:t>OpkrævningUdbetalingID</w:t>
              <w:br/>
              <w:t/>
              <w:tab/>
              <w:t/>
              <w:tab/>
              <w:t/>
              <w:tab/>
              <w:t/>
              <w:tab/>
              <w:t/>
              <w:tab/>
              <w:t/>
              <w:tab/>
              <w:t/>
              <w:tab/>
              <w:t/>
              <w:tab/>
              <w:t>OpkrævningUdbetalingType</w:t>
              <w:br/>
              <w:t/>
              <w:tab/>
              <w:t/>
              <w:tab/>
              <w:t/>
              <w:tab/>
              <w:t/>
              <w:tab/>
              <w:t/>
              <w:tab/>
              <w:t/>
              <w:tab/>
              <w:t/>
              <w:tab/>
              <w:t/>
              <w:tab/>
              <w:t>OpkrævningUdbetalingDato</w:t>
              <w:br/>
              <w:t/>
              <w:tab/>
              <w:t/>
              <w:tab/>
              <w:t/>
              <w:tab/>
              <w:t/>
              <w:tab/>
              <w:t/>
              <w:tab/>
              <w:t/>
              <w:tab/>
              <w:t/>
              <w:tab/>
              <w:t/>
              <w:tab/>
              <w:t>OpkrævningUdbetalingBeløb</w:t>
              <w:br/>
              <w:t/>
              <w:tab/>
              <w:t/>
              <w:tab/>
              <w:t/>
              <w:tab/>
              <w:t/>
              <w:tab/>
              <w:t/>
              <w:tab/>
              <w:t/>
              <w:tab/>
              <w:t/>
              <w:tab/>
              <w:t>]</w:t>
              <w:br/>
              <w:t/>
              <w:tab/>
              <w:t/>
              <w:tab/>
              <w:t/>
              <w:tab/>
              <w:t/>
              <w:tab/>
              <w:t/>
              <w:tab/>
              <w:t/>
              <w:tab/>
              <w:t/>
              <w:tab/>
              <w:t>|</w:t>
              <w:br/>
              <w:t/>
              <w:tab/>
              <w:t/>
              <w:tab/>
              <w:t/>
              <w:tab/>
              <w:t/>
              <w:tab/>
              <w:t/>
              <w:tab/>
              <w:t/>
              <w:tab/>
              <w:t/>
              <w:tab/>
              <w:t>*Afskrivning*</w:t>
              <w:br/>
              <w:t/>
              <w:tab/>
              <w:t/>
              <w:tab/>
              <w:t/>
              <w:tab/>
              <w:t/>
              <w:tab/>
              <w:t/>
              <w:tab/>
              <w:t/>
              <w:tab/>
              <w:t/>
              <w:tab/>
              <w:t>[</w:t>
              <w:br/>
              <w:t/>
              <w:tab/>
              <w:t/>
              <w:tab/>
              <w:t/>
              <w:tab/>
              <w:t/>
              <w:tab/>
              <w:t/>
              <w:tab/>
              <w:t/>
              <w:tab/>
              <w:t/>
              <w:tab/>
              <w:t/>
              <w:tab/>
              <w:t>OpkrævningAfskrivningType</w:t>
              <w:br/>
              <w:t/>
              <w:tab/>
              <w:t/>
              <w:tab/>
              <w:t/>
              <w:tab/>
              <w:t/>
              <w:tab/>
              <w:t/>
              <w:tab/>
              <w:t/>
              <w:tab/>
              <w:t/>
              <w:tab/>
              <w:t/>
              <w:tab/>
              <w:t>OpkrævningAfskrivningDato</w:t>
              <w:br/>
              <w:t/>
              <w:tab/>
              <w:t/>
              <w:tab/>
              <w:t/>
              <w:tab/>
              <w:t/>
              <w:tab/>
              <w:t/>
              <w:tab/>
              <w:t/>
              <w:tab/>
              <w:t/>
              <w:tab/>
              <w:t/>
              <w:tab/>
              <w:t>OpkrævningAfskrivningBeløb</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VirksomhedSENummer i input er angivet i forkert format.</w:t>
              <w:br/>
              <w:t>- 422.2 VirksomhedSENummer antal i input overstiger det maksimalt tilladte.</w:t>
              <w:br/>
              <w:t>- 422.3 OpkrævningFordringTypeID i input er angivet i forkert format.</w:t>
              <w:br/>
              <w:t>- 422.4 TekniskRegistreringDatoFra i input er angivet i forkert format.</w:t>
              <w:br/>
              <w:t>- 422.5 TekniskRegistreringDatoTil i input er angivet i forkert format.</w:t>
              <w:br/>
              <w:t>- 422.6 TekniskRegistreringDatoFra er efter TekniskRegistreringDatoTil.</w:t>
              <w:br/>
              <w:t>- 422.7 Side i input er angivet i forkert format.</w:t>
              <w:br/>
              <w:t>- 422.8 Side i input eksisterer ikke i registret.</w:t>
              <w:br/>
              <w:t>- 422.9 GyldigDatoFra i input er angivet i forkert format.</w:t>
              <w:br/>
              <w:t>- 422.10 GyldigDatoTil i input er angivet i forkert format.</w:t>
              <w:br/>
              <w:t>- 422.11 GyldigDatoFra er efter GyldigDatoTil.</w:t>
              <w:br/>
              <w:t>- 422.12 FordringUdligningStatus er angivet i et forkert format.</w:t>
              <w:br/>
              <w:t>- 422.90 Transaktionen er en dublet.</w:t>
              <w:br/>
              <w:t>- 422.99 VirksomhedSENummer indeholder forkert data.</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Til versionering af servicen bruges der semantisk versionering.</w:t>
              <w:br/>
              <w:t>Major og minor defineres af informationsarkitekten mens patch defineres af udvikleren.</w:t>
              <w:br/>
              <w:t>Det giver udvikleren mulighed for at lave fejlrettelser, der ikke kræver ændringer til specifikationen.</w:t>
              <w:br/>
              <w:t>En wordrapport indeholder derfor kun major- og minor-versionsnummer, mens Open API-specifikationen indeholder det fulde versionsnummer.</w:t>
              <w:br/>
              <w:t>Første major-version defineres når den første anvender har gennemført acceptancetest.</w:t>
              <w:br/>
              <w:t>Efterfølgende vil alle ændringer til specifikationen, der bryder med bagudkompatibilitet, resultere i en ny major-release.</w:t>
            </w:r>
          </w:p>
        </w:tc>
      </w:tr>
    </w:tbl>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FordringUdligningStatus</w:t>
            </w:r>
            <w:bookmarkStart w:name="FordringUdligningStatu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1</w:t>
              <w:br/>
              <w:t>maxLength: 20</w:t>
              <w:br/>
              <w:t>enumeration: Åben, Lukket, Alle</w:t>
            </w:r>
          </w:p>
        </w:tc>
        <w:tc>
          <w:tcPr>
            <w:tcW w:w="4391" w:type="dxa"/>
            <w:tcMar>
              <w:top w:w="57" w:type="dxa"/>
              <w:bottom w:w="57" w:type="dxa"/>
            </w:tcMar>
          </w:tcPr>
          <w:p>
            <w:pPr>
              <w:rPr>
                <w:rFonts w:ascii="Arial" w:hAnsi="Arial" w:cs="Arial"/>
                <w:sz w:val="18"/>
              </w:rPr>
            </w:pPr>
            <w:r>
              <w:rPr>
                <w:rFonts w:ascii="Arial" w:hAnsi="Arial" w:cs="Arial"/>
                <w:sz w:val="18"/>
              </w:rPr>
              <w:t/>
              <w:t>Feltet viser ved 'Lukket', at en fordring er udlignet.</w:t>
              <w:br/>
              <w:t>Udligning er typisk det samme, som at fordring er betalt.</w:t>
              <w:br/>
              <w:t/>
              <w:br/>
              <w:t>Hvis status er 'Åben', betyder det, at fordringen endnu ikke er betalt (åbenstående).</w:t>
              <w:br/>
              <w:t/>
              <w:br/>
              <w:t>'Alle' er i princippet ikke en status, men en værdi til udsøgning som betyder, at man får returneret alle fordringer, altså både 'Åben' og 'Lukket'.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GyldigDatoFra</w:t>
            </w:r>
            <w:bookmarkStart w:name="Gyldi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første dag, et forretningsobjekt er gyldigt fra.</w:t>
              <w:br/>
              <w:t>Anvendes primært som søgeparameter i service-input.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GyldigDatoTil</w:t>
            </w:r>
            <w:bookmarkStart w:name="Gyldi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sidste dag, et forretningsobjekt er gyldigt til.</w:t>
              <w:br/>
              <w:t>Anvendes primært som søgeparameter i service-input.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NegativFordringFrigivetMarkering</w:t>
            </w:r>
            <w:bookmarkStart w:name="NegativFordringFrigiv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hvorvidt frigivelsesdato er passeret. Sættes til true hvis dato er overskredet.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OpkrævningAfskrivningBeløb</w:t>
            </w:r>
            <w:bookmarkStart w:name="OpkrævningAfskriv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afskrives.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OpkrævningAfskrivningDato</w:t>
            </w:r>
            <w:bookmarkStart w:name="OpkrævningAfskriv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afskrivning har virkning fra.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OpkrævningAfskrivningType</w:t>
            </w:r>
            <w:bookmarkStart w:name="OpkrævningAfskrivning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Beskriver om en afskrivning er skal reducere en indtægt, eller udgiftføres på en udgiftskonto.</w:t>
              <w:br/>
              <w:t/>
              <w:br/>
              <w:t>Værdisæt:</w:t>
              <w:br/>
              <w:t>1 - Reducering af indtægt</w:t>
              <w:br/>
              <w:t>2 - Udgift - Skal udgiftføres på en udgiftskonto</w:t>
              <w:br/>
              <w:t>3 - Indtægtsførsel - bagatelgrænse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OpkrævningFordringBetalingOrdningMarkering</w:t>
            </w:r>
            <w:bookmarkStart w:name="OpkrævningFordringBetalingOrd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hvorvidt en fordring er omfattet af en betalingsordning. Sættes til true, hvis 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OpkrævningFordringFrigivelseDato</w:t>
            </w:r>
            <w:bookmarkStart w:name="OpkrævningFordringFri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FrigivelseDato er datoen for, hvornår en negativ fordring skal eller er frigivet til at indgå i kontoens saldo.</w:t>
              <w:br/>
              <w:t>Frigivelsesdatoen vil være lig med rentedato, da renten først skal beregnes, når beløbet er frigivet.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OpkrævningFordringID</w:t>
            </w:r>
            <w:bookmarkStart w:name="OpkrævningFordr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w:t>
            </w:r>
          </w:p>
        </w:tc>
        <w:tc>
          <w:tcPr>
            <w:tcW w:w="4391" w:type="dxa"/>
            <w:tcMar>
              <w:top w:w="57" w:type="dxa"/>
              <w:bottom w:w="57" w:type="dxa"/>
            </w:tcMar>
          </w:tcPr>
          <w:p>
            <w:pPr>
              <w:rPr>
                <w:rFonts w:ascii="Arial" w:hAnsi="Arial" w:cs="Arial"/>
                <w:sz w:val="18"/>
              </w:rPr>
            </w:pPr>
            <w:r>
              <w:rPr>
                <w:rFonts w:ascii="Arial" w:hAnsi="Arial" w:cs="Arial"/>
                <w:sz w:val="18"/>
              </w:rPr>
              <w:t/>
              <w:t>ID er den unikke identifikation på den enkelte opkrævningsfordring i DMO.</w:t>
              <w:br/>
              <w:t/>
              <w:br/>
              <w:t>Identifikationen (ID) skal bl.a. anvendes i tilfælde af tilbagekaldelse, korrektion eller bortfald fra fordringshavers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OpkrævningFordringOprindeligSidsteRettidigBetalingDato</w:t>
            </w:r>
            <w:bookmarkStart w:name="OpkrævningFordringOprindeli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oprindelige sidste rettidige betalingsdato er den dato som ville have været sidste rettidige indbetalingsdato, hvis der var sket rettidig indmelding af moms.</w:t>
              <w:b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OpkrævningFordringOprindeligtBeløb</w:t>
            </w:r>
            <w:bookmarkStart w:name="OpkrævningFordringOprindel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OprindeligBeløb angiver en fordrings oprindelige beløb, dvs. det beløb, som fordringen er oprettet med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OpkrævningFordringOverdragelseStatus</w:t>
            </w:r>
            <w:bookmarkStart w:name="OpkrævningFordringOverdragelseStatu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Angiver hvilken status, den pågældende opkrævningsfordring til inddrivelse har, fx "Frigivet til inddrivelse" eller "Fordring er fuldt betalt af kunden".</w:t>
              <w:br/>
              <w:t/>
              <w:br/>
              <w:t>Værdisæt:</w:t>
              <w:br/>
              <w:t>1 - Frigivet til inddrivelse</w:t>
              <w:br/>
              <w:t>2 - Overdraget til inddrivelse</w:t>
              <w:br/>
              <w:t>3 - Fordring betalt via inddrivelse</w:t>
              <w:br/>
              <w:t>4 - Fordring delvist betalt via inddrivelse</w:t>
              <w:br/>
              <w:t>5 - Overdragelse er tilbagekaldt</w:t>
              <w:br/>
              <w:t>6 - Overdragelse til inddrivelse mislykkedes</w:t>
              <w:br/>
              <w:t>7 - Fordring er fuldt betalt af kunden</w:t>
              <w:br/>
              <w:t>8 - Fordring er delvist betalt af kunde</w:t>
              <w:br/>
              <w:t>9 - Fordring er dækket</w:t>
              <w:br/>
              <w:t>10 - Fordring er delvist dækket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OpkrævningFordringPeriodeFraDato</w:t>
            </w:r>
            <w:bookmarkStart w:name="OpkrævningFordringPeriodeFra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PeriodeFra er startdatoen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OpkrævningFordringPeriodeTilDato</w:t>
            </w:r>
            <w:bookmarkStart w:name="OpkrævningFordringPeriodeTi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PeriodeTil er slutdatoen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OpkrævningFordringSidsteRettidigBetalingDato</w:t>
            </w:r>
            <w:bookmarkStart w:name="OpkrævningFordrin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rettidige betalingsdato er den sidste frist for, hvornår en fordring skal være betalt.</w:t>
              <w:br/>
              <w:t/>
              <w:br/>
              <w:t>Sidste rettidig betalingsdato - også kaldet SRB - er den rentebærende dato, dvs. den dato, hvorfra der evt. skal beregnes rente.</w:t>
              <w:br/>
              <w:t/>
              <w:br/>
              <w:t>SidsteRettidigBetalingDato er ikke altid lig med ForfaldDato.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OpkrævningFordringTypeID</w:t>
            </w:r>
            <w:bookmarkStart w:name="Opkrævning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opkrævningsfordringstype. Nummerrækken er grupperet således:</w:t>
              <w:br/>
              <w:t/>
              <w:br/>
              <w:t>1000-1099 - Motor</w:t>
              <w:br/>
              <w:t>1100-1199 - Askat</w:t>
              <w:br/>
              <w:t>1200-1249 - Bøder</w:t>
              <w:br/>
              <w:t>1250-1299 - Lønsum</w:t>
              <w:br/>
              <w:t>1300-1399 - Moms</w:t>
              <w:br/>
              <w:t>1400-1449 - Pensionsskat</w:t>
              <w:br/>
              <w:t>1450-1499 - Punktafgifter</w:t>
              <w:br/>
              <w:t>1500-1549 - Kommunale ejendomsskatter</w:t>
              <w:br/>
              <w:t>1700-1749 - Renter og gebyrer</w:t>
              <w:br/>
              <w:t>1750-1849 - Selskabsskat</w:t>
              <w:br/>
              <w:t>1850-1949 - Told</w:t>
              <w:br/>
              <w:t/>
              <w:br/>
              <w:t>Værdisæt:</w:t>
              <w:br/>
              <w:t>Se regneark "DMO Fordringstyper" under kolonne: "Hovedtransaktion"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OpkrævningIndbetalingBeløb</w:t>
            </w:r>
            <w:bookmarkStart w:name="OpkrævningIndbetal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indbetalte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OpkrævningIndbetalingDato</w:t>
            </w:r>
            <w:bookmarkStart w:name="OpkrævningInd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IndbetalingDato er det forretningsmæssige begreb, og er datoen for, hvornår fordringen tilgår SKB-kontoen og bliver rentebærende. Det vil sige, at det er den dato, hvor renten skal beregnes.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OpkrævningIndbetalingID</w:t>
            </w:r>
            <w:bookmarkStart w:name="OpkrævningIndbetaling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Den unikke identifikation af den enkelte indbetaling, som skal anvendes til at kunne spore indbetalingen fx ifm med 2 identiske betalinger foretaget samme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OpkrævningIndbetalingSystem</w:t>
            </w:r>
            <w:bookmarkStart w:name="OpkrævningIndbetalingSyste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Navnet på det system, hvorfra indbetalingen stammer. Værdier kan være:</w:t>
              <w:br/>
              <w:t/>
              <w:br/>
              <w:t>SAP38 (overførsel til opkrævningskontoen)</w:t>
              <w:br/>
              <w:t>SAPKasse (kontant eller kort betaling)</w:t>
              <w:br/>
              <w:t>LetLøn (indbetalingsfil)</w:t>
              <w:br/>
              <w:t>DMROnline (Kortbetalinger via nettet)</w:t>
              <w:br/>
              <w:t>M1SS (Mini One Stop Shop)</w:t>
              <w:br/>
              <w:t>DMSOnline</w:t>
              <w:br/>
              <w:t/>
              <w:br/>
              <w:t>Værdisæt:</w:t>
              <w:br/>
              <w:t>SAP38</w:t>
              <w:br/>
              <w:t>SAPKasse</w:t>
              <w:br/>
              <w:t>LetLøn</w:t>
              <w:br/>
              <w:t>DMROnline</w:t>
              <w:br/>
              <w:t>M1SS</w:t>
              <w:br/>
              <w:t>DMSOnline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OpkrævningKontoIndbetalingForm</w:t>
            </w:r>
            <w:bookmarkStart w:name="OpkrævningKontoIndbetalingFor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Angiver de mulige indbetalingsformer, fx BS (Betalingsservice), HomeBanking, Statens Koncern Bank (SKB), FI-kort eller kontant herunder også Dankort og onlinebetaling.</w:t>
              <w:br/>
              <w:t/>
              <w:br/>
              <w:t>Det er altså betalingsmuligheder.</w:t>
              <w:br/>
              <w:t>Betalingsformen SKB vedrører dog kun offentlige betalere, herunder kommuner (OBS-loven) og kan ikke fravælges.</w:t>
              <w:br/>
              <w:t>Offentlige virksomheder (indberettere og betalere) identificeres på specifikke forretningsområder under den enkelte pligt.</w:t>
              <w:br/>
              <w:t/>
              <w:br/>
              <w:t>Værdisæt:</w:t>
              <w:br/>
              <w:t>1 - Kontant</w:t>
              <w:br/>
              <w:t>2 - PBS</w:t>
              <w:br/>
              <w:t>3 - HomeBanking</w:t>
              <w:br/>
              <w:t>4 - SKB</w:t>
              <w:br/>
              <w:t>5 - anden betalingsform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OpkrævningUdbetalingBeløb</w:t>
            </w:r>
            <w:bookmarkStart w:name="OpkrævningUdbetal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der skal udbetales.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OpkrævningUdbetalingDato</w:t>
            </w:r>
            <w:bookmarkStart w:name="OpkrævningUd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udbetaling af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OpkrævningUdbetalingID</w:t>
            </w:r>
            <w:bookmarkStart w:name="OpkrævningUdbetaling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Den unikke identifikation af den enkelte udbetaling, som skal anvendes til at kunne spore udbetalingen fx ifm med 2 identiske betalinger foretaget samme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OpkrævningUdbetalingType</w:t>
            </w:r>
            <w:bookmarkStart w:name="OpkrævningUdbetaling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1000</w:t>
            </w:r>
          </w:p>
        </w:tc>
        <w:tc>
          <w:tcPr>
            <w:tcW w:w="4391" w:type="dxa"/>
            <w:tcMar>
              <w:top w:w="57" w:type="dxa"/>
              <w:bottom w:w="57" w:type="dxa"/>
            </w:tcMar>
          </w:tcPr>
          <w:p>
            <w:pPr>
              <w:rPr>
                <w:rFonts w:ascii="Arial" w:hAnsi="Arial" w:cs="Arial"/>
                <w:sz w:val="18"/>
              </w:rPr>
            </w:pPr>
            <w:r>
              <w:rPr>
                <w:rFonts w:ascii="Arial" w:hAnsi="Arial" w:cs="Arial"/>
                <w:sz w:val="18"/>
              </w:rPr>
              <w:t/>
              <w:t>Her angives hvad udbetalingen sker på baggrund af. Det kan f.eks. være et overskydent beløb fra indbetalingen "Nemkonto udbetaling" eller den oplyste udbetalingstype fra Nemkonto, som oplyses ved udbetalingen (en fast tekst der automatisk indsættes).</w:t>
              <w:br/>
              <w:t/>
              <w:br/>
              <w:t>Værdisæt:</w:t>
              <w:br/>
              <w:t>A - BS EAN nummer</w:t>
              <w:br/>
              <w:t>B - BS - Total</w:t>
              <w:br/>
              <w:t>C - Check</w:t>
              <w:br/>
              <w:t>E - EFI Overførsel</w:t>
              <w:br/>
              <w:t>F - BS Elektronisk inbetalingskort</w:t>
              <w:br/>
              <w:t>I - Nemkonto indlandsbetaling</w:t>
              <w:br/>
              <w:t>N - Nemkonto Generel</w:t>
              <w:br/>
              <w:t>O - Check ompostering U/godken.</w:t>
              <w:br/>
              <w:t>R - Check retursvar 2, 5,  7 og 9</w:t>
              <w:br/>
              <w:t>U - Nemkonto udlandsbetaling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w:t>
            </w:r>
            <w:bookmarkStart w:name="Si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br/>
              <w:t>maxInclusive: 999999999</w:t>
              <w:br/>
              <w:t>minInclusive: 1</w:t>
            </w:r>
          </w:p>
        </w:tc>
        <w:tc>
          <w:tcPr>
            <w:tcW w:w="4391" w:type="dxa"/>
            <w:tcMar>
              <w:top w:w="57" w:type="dxa"/>
              <w:bottom w:w="57" w:type="dxa"/>
            </w:tcMar>
          </w:tcPr>
          <w:p>
            <w:pPr>
              <w:rPr>
                <w:rFonts w:ascii="Arial" w:hAnsi="Arial" w:cs="Arial"/>
                <w:sz w:val="18"/>
              </w:rPr>
            </w:pPr>
            <w:r>
              <w:rPr>
                <w:rFonts w:ascii="Arial" w:hAnsi="Arial" w:cs="Arial"/>
                <w:sz w:val="18"/>
              </w:rPr>
              <w:t/>
              <w:t>Side anvendes i forbindelse med paginering og er her en angivelse af hvilken side der ønskes returneret i servicekaldet.</w:t>
              <w:br/>
              <w:t>Hvis ikke udfyldt returneres side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SKTFVdataKlassifikation</w:t>
            </w:r>
            <w:bookmarkStart w:name="SKTFVdataKlass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Oplyser hvilken klassifikation data er tildelt af skatteforvaltningen. Klassifikationen kan f.eks. antage værdierne "Fortrolige data", "Interne data" og "Offentlige data".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TekniskRegistreringTidspunkt</w:t>
            </w:r>
            <w:bookmarkStart w:name="TekniskRegistrer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16</w:t>
            </w:r>
          </w:p>
        </w:tc>
        <w:tc>
          <w:tcPr>
            <w:tcW w:w="4391" w:type="dxa"/>
            <w:tcMar>
              <w:top w:w="57" w:type="dxa"/>
              <w:bottom w:w="57" w:type="dxa"/>
            </w:tcMar>
          </w:tcPr>
          <w:p>
            <w:pPr>
              <w:rPr>
                <w:rFonts w:ascii="Arial" w:hAnsi="Arial" w:cs="Arial"/>
                <w:sz w:val="18"/>
              </w:rPr>
            </w:pPr>
            <w:r>
              <w:rPr>
                <w:rFonts w:ascii="Arial" w:hAnsi="Arial" w:cs="Arial"/>
                <w:sz w:val="18"/>
              </w:rPr>
              <w:t/>
              <w:t>Angiver det tidspunkt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SkattekontoFordringer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